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9ED" w:rsidRPr="005238F1" w:rsidRDefault="00FF09ED" w:rsidP="00FF09ED">
      <w:pPr>
        <w:rPr>
          <w:bCs/>
          <w:sz w:val="20"/>
          <w:szCs w:val="20"/>
          <w:u w:val="single"/>
        </w:rPr>
      </w:pPr>
    </w:p>
    <w:p w:rsidR="00D2750D" w:rsidRPr="005238F1" w:rsidRDefault="00FF09ED" w:rsidP="00FF09ED">
      <w:pPr>
        <w:rPr>
          <w:b/>
          <w:bCs/>
          <w:sz w:val="20"/>
          <w:szCs w:val="20"/>
          <w:u w:val="single"/>
        </w:rPr>
      </w:pPr>
      <w:r w:rsidRPr="005238F1">
        <w:rPr>
          <w:bCs/>
          <w:sz w:val="20"/>
          <w:szCs w:val="20"/>
          <w:u w:val="single"/>
        </w:rPr>
        <w:t xml:space="preserve"> </w:t>
      </w:r>
      <w:r w:rsidR="00D2750D" w:rsidRPr="005238F1">
        <w:rPr>
          <w:b/>
          <w:bCs/>
          <w:sz w:val="20"/>
          <w:szCs w:val="20"/>
          <w:u w:val="single"/>
        </w:rPr>
        <w:t>PARIR VAGINALMENTE CON DOS O MÁS CESÀREAS ANTERIORES:</w:t>
      </w:r>
    </w:p>
    <w:p w:rsidR="00D2750D" w:rsidRPr="005238F1" w:rsidRDefault="00D2750D" w:rsidP="00FF09ED">
      <w:pPr>
        <w:rPr>
          <w:b/>
          <w:bCs/>
          <w:sz w:val="20"/>
          <w:szCs w:val="20"/>
        </w:rPr>
      </w:pPr>
    </w:p>
    <w:p w:rsidR="00FF09ED" w:rsidRPr="005238F1" w:rsidRDefault="00FF09ED" w:rsidP="00FF09ED">
      <w:pPr>
        <w:rPr>
          <w:sz w:val="20"/>
          <w:szCs w:val="20"/>
        </w:rPr>
      </w:pPr>
      <w:r w:rsidRPr="005238F1">
        <w:rPr>
          <w:sz w:val="20"/>
          <w:szCs w:val="20"/>
        </w:rPr>
        <w:t>Cuando se realiza una nueva incisión en la matriz de una mujer para realizar otra cesárea siempre se hace sobre la antigua cicatriz. Con lo cual la mujer finalmente solo tiene una herida, solo una cicatriz en la matriz aunque tenga varias cesáreas.</w:t>
      </w:r>
    </w:p>
    <w:p w:rsidR="00FF09ED" w:rsidRPr="005238F1" w:rsidRDefault="00FF09ED" w:rsidP="00FF09ED">
      <w:pPr>
        <w:rPr>
          <w:sz w:val="20"/>
          <w:szCs w:val="20"/>
        </w:rPr>
      </w:pPr>
    </w:p>
    <w:p w:rsidR="00FF09ED" w:rsidRPr="005238F1" w:rsidRDefault="00FF09ED" w:rsidP="00FF09ED">
      <w:pPr>
        <w:rPr>
          <w:sz w:val="20"/>
          <w:szCs w:val="20"/>
        </w:rPr>
      </w:pPr>
      <w:r w:rsidRPr="005238F1">
        <w:rPr>
          <w:sz w:val="20"/>
          <w:szCs w:val="20"/>
        </w:rPr>
        <w:t>Tanto los protocolos de la SEGO</w:t>
      </w:r>
      <w:r w:rsidR="00C8442F" w:rsidRPr="005238F1">
        <w:rPr>
          <w:sz w:val="20"/>
          <w:szCs w:val="20"/>
        </w:rPr>
        <w:t xml:space="preserve"> </w:t>
      </w:r>
      <w:proofErr w:type="gramStart"/>
      <w:r w:rsidR="00C8442F" w:rsidRPr="005238F1">
        <w:rPr>
          <w:sz w:val="20"/>
          <w:szCs w:val="20"/>
        </w:rPr>
        <w:t>( Sociedad</w:t>
      </w:r>
      <w:proofErr w:type="gramEnd"/>
      <w:r w:rsidR="00C8442F" w:rsidRPr="005238F1">
        <w:rPr>
          <w:sz w:val="20"/>
          <w:szCs w:val="20"/>
        </w:rPr>
        <w:t xml:space="preserve"> Española de Ginecología y Obstetricia) </w:t>
      </w:r>
      <w:r w:rsidRPr="005238F1">
        <w:rPr>
          <w:sz w:val="20"/>
          <w:szCs w:val="20"/>
        </w:rPr>
        <w:t xml:space="preserve"> como los protocolos recomendados por las Instituciones Sanitarias Catalanas y Españolas incluyen como candidatas de una prueba de trabajo de parto a las mujeres con dos cesáreas, si son transversales bajas y la mujer está informada y es su deseo.</w:t>
      </w:r>
    </w:p>
    <w:p w:rsidR="00FF09ED" w:rsidRPr="005238F1" w:rsidRDefault="00FF09ED" w:rsidP="00FF09ED">
      <w:pPr>
        <w:rPr>
          <w:sz w:val="20"/>
          <w:szCs w:val="20"/>
        </w:rPr>
      </w:pPr>
    </w:p>
    <w:p w:rsidR="00FF09ED" w:rsidRPr="005238F1" w:rsidRDefault="00FF09ED" w:rsidP="00FF09ED">
      <w:pPr>
        <w:rPr>
          <w:sz w:val="20"/>
          <w:szCs w:val="20"/>
        </w:rPr>
      </w:pPr>
      <w:r w:rsidRPr="005238F1">
        <w:rPr>
          <w:sz w:val="20"/>
          <w:szCs w:val="20"/>
        </w:rPr>
        <w:t>Pero hay una gran distancia de la teoría escrita a la realidad. Ya que las mujeres con dos cesáreas que quieren parir vaginalmente no encuentran quien les atienda. Casi todos los ginecólogos se niegan a permitir un trabajo de parto en mujeres con dos cesáreas previas.</w:t>
      </w:r>
    </w:p>
    <w:p w:rsidR="00FF09ED" w:rsidRPr="005238F1" w:rsidRDefault="00FF09ED" w:rsidP="00FF09ED">
      <w:pPr>
        <w:rPr>
          <w:sz w:val="20"/>
          <w:szCs w:val="20"/>
        </w:rPr>
      </w:pPr>
    </w:p>
    <w:p w:rsidR="00D2750D" w:rsidRPr="005238F1" w:rsidRDefault="00FF09ED" w:rsidP="00FF09ED">
      <w:pPr>
        <w:rPr>
          <w:b/>
          <w:sz w:val="20"/>
          <w:szCs w:val="20"/>
        </w:rPr>
      </w:pPr>
      <w:r w:rsidRPr="005238F1">
        <w:rPr>
          <w:b/>
          <w:sz w:val="20"/>
          <w:szCs w:val="20"/>
        </w:rPr>
        <w:t>¿Que dice la ciencia?</w:t>
      </w:r>
    </w:p>
    <w:p w:rsidR="00FF09ED" w:rsidRPr="005238F1" w:rsidRDefault="00FF09ED" w:rsidP="00FF09ED">
      <w:pPr>
        <w:rPr>
          <w:b/>
          <w:sz w:val="20"/>
          <w:szCs w:val="20"/>
        </w:rPr>
      </w:pPr>
      <w:r w:rsidRPr="005238F1">
        <w:rPr>
          <w:b/>
          <w:sz w:val="20"/>
          <w:szCs w:val="20"/>
        </w:rPr>
        <w:t xml:space="preserve">  </w:t>
      </w:r>
      <w:r w:rsidRPr="005238F1">
        <w:rPr>
          <w:sz w:val="20"/>
          <w:szCs w:val="20"/>
        </w:rPr>
        <w:t>975 mujeres con múltiples cesáreas anteriores intentaron PVDC</w:t>
      </w:r>
      <w:r w:rsidR="00F10520" w:rsidRPr="005238F1">
        <w:rPr>
          <w:sz w:val="20"/>
          <w:szCs w:val="20"/>
        </w:rPr>
        <w:t xml:space="preserve"> </w:t>
      </w:r>
      <w:proofErr w:type="gramStart"/>
      <w:r w:rsidR="00F10520" w:rsidRPr="005238F1">
        <w:rPr>
          <w:sz w:val="20"/>
          <w:szCs w:val="20"/>
        </w:rPr>
        <w:t>( Parto</w:t>
      </w:r>
      <w:proofErr w:type="gramEnd"/>
      <w:r w:rsidR="00F10520" w:rsidRPr="005238F1">
        <w:rPr>
          <w:sz w:val="20"/>
          <w:szCs w:val="20"/>
        </w:rPr>
        <w:t xml:space="preserve"> Vaginal después de Cesárea)</w:t>
      </w:r>
      <w:r w:rsidRPr="005238F1">
        <w:rPr>
          <w:sz w:val="20"/>
          <w:szCs w:val="20"/>
        </w:rPr>
        <w:t xml:space="preserve">, durante un período de 2 años y el porcentaje total de ruptura uterina </w:t>
      </w:r>
      <w:proofErr w:type="spellStart"/>
      <w:r w:rsidRPr="005238F1">
        <w:rPr>
          <w:sz w:val="20"/>
          <w:szCs w:val="20"/>
        </w:rPr>
        <w:t>fué</w:t>
      </w:r>
      <w:proofErr w:type="spellEnd"/>
      <w:r w:rsidRPr="005238F1">
        <w:rPr>
          <w:sz w:val="20"/>
          <w:szCs w:val="20"/>
        </w:rPr>
        <w:t xml:space="preserve"> del 0.9%, o sea 9 de 1000.</w:t>
      </w:r>
    </w:p>
    <w:p w:rsidR="00FF09ED" w:rsidRPr="005238F1" w:rsidRDefault="00FF09ED" w:rsidP="00FF09ED">
      <w:pPr>
        <w:pStyle w:val="NormalWeb"/>
        <w:spacing w:before="0" w:beforeAutospacing="0" w:after="0" w:afterAutospacing="0"/>
        <w:rPr>
          <w:rFonts w:ascii="Tahoma" w:hAnsi="Tahoma" w:cs="Tahoma"/>
          <w:sz w:val="20"/>
          <w:szCs w:val="20"/>
        </w:rPr>
      </w:pPr>
      <w:r w:rsidRPr="005238F1">
        <w:rPr>
          <w:sz w:val="20"/>
          <w:szCs w:val="20"/>
        </w:rPr>
        <w:t xml:space="preserve">En mujeres cuyo PVD2C se produjo </w:t>
      </w:r>
      <w:r w:rsidR="00C8442F" w:rsidRPr="005238F1">
        <w:rPr>
          <w:sz w:val="20"/>
          <w:szCs w:val="20"/>
        </w:rPr>
        <w:t>antes de 2 años</w:t>
      </w:r>
      <w:r w:rsidRPr="005238F1">
        <w:rPr>
          <w:sz w:val="20"/>
          <w:szCs w:val="20"/>
        </w:rPr>
        <w:t xml:space="preserve"> después de la última cesárea, el porcentaje de ruptura uterina era del 1,1%.</w:t>
      </w:r>
    </w:p>
    <w:p w:rsidR="00FF09ED" w:rsidRPr="005238F1" w:rsidRDefault="00FF09ED" w:rsidP="00FF09ED">
      <w:pPr>
        <w:pStyle w:val="NormalWeb"/>
        <w:spacing w:before="0" w:beforeAutospacing="0" w:after="0" w:afterAutospacing="0"/>
        <w:rPr>
          <w:rFonts w:ascii="Tahoma" w:hAnsi="Tahoma" w:cs="Tahoma"/>
          <w:sz w:val="20"/>
          <w:szCs w:val="20"/>
        </w:rPr>
      </w:pPr>
      <w:r w:rsidRPr="005238F1">
        <w:rPr>
          <w:sz w:val="20"/>
          <w:szCs w:val="20"/>
        </w:rPr>
        <w:t>En mujeres que habían tenido algún parto vaginal anterior, el porcentaje de ruptura era del 0,5%.</w:t>
      </w:r>
    </w:p>
    <w:p w:rsidR="00FF09ED" w:rsidRPr="005238F1" w:rsidRDefault="00FF09ED" w:rsidP="00FF09ED">
      <w:pPr>
        <w:pStyle w:val="NormalWeb"/>
        <w:spacing w:before="0" w:beforeAutospacing="0" w:after="0" w:afterAutospacing="0"/>
        <w:rPr>
          <w:sz w:val="20"/>
          <w:szCs w:val="20"/>
        </w:rPr>
      </w:pPr>
      <w:r w:rsidRPr="005238F1">
        <w:rPr>
          <w:rFonts w:ascii="Tahoma" w:hAnsi="Tahoma" w:cs="Tahoma"/>
          <w:sz w:val="20"/>
          <w:szCs w:val="20"/>
        </w:rPr>
        <w:t> </w:t>
      </w:r>
    </w:p>
    <w:p w:rsidR="00FF09ED" w:rsidRPr="005238F1" w:rsidRDefault="00FF09ED" w:rsidP="00FF09ED">
      <w:pPr>
        <w:pStyle w:val="NormalWeb"/>
        <w:spacing w:before="0" w:beforeAutospacing="0" w:after="0" w:afterAutospacing="0"/>
        <w:rPr>
          <w:sz w:val="20"/>
          <w:szCs w:val="20"/>
        </w:rPr>
      </w:pPr>
      <w:r w:rsidRPr="005238F1">
        <w:rPr>
          <w:sz w:val="20"/>
          <w:szCs w:val="20"/>
        </w:rPr>
        <w:t>Según número de cesáreas anteriores los resultados fueron:</w:t>
      </w:r>
    </w:p>
    <w:p w:rsidR="00FF09ED" w:rsidRPr="005238F1" w:rsidRDefault="00FF09ED" w:rsidP="00FF09ED">
      <w:pPr>
        <w:pStyle w:val="NormalWeb"/>
        <w:spacing w:before="0" w:beforeAutospacing="0" w:after="0" w:afterAutospacing="0"/>
        <w:rPr>
          <w:sz w:val="20"/>
          <w:szCs w:val="20"/>
        </w:rPr>
      </w:pPr>
      <w:r w:rsidRPr="005238F1">
        <w:rPr>
          <w:sz w:val="20"/>
          <w:szCs w:val="20"/>
        </w:rPr>
        <w:t>   -  Mujeres con 1 cesárea anterior</w:t>
      </w:r>
      <w:proofErr w:type="gramStart"/>
      <w:r w:rsidRPr="005238F1">
        <w:rPr>
          <w:sz w:val="20"/>
          <w:szCs w:val="20"/>
        </w:rPr>
        <w:t>:  Parieron</w:t>
      </w:r>
      <w:proofErr w:type="gramEnd"/>
      <w:r w:rsidRPr="005238F1">
        <w:rPr>
          <w:sz w:val="20"/>
          <w:szCs w:val="20"/>
        </w:rPr>
        <w:t xml:space="preserve"> con éxito 12.490 de 16.915, o sea un (74%)</w:t>
      </w:r>
    </w:p>
    <w:p w:rsidR="00FF09ED" w:rsidRPr="005238F1" w:rsidRDefault="00FF09ED" w:rsidP="00FF09ED">
      <w:pPr>
        <w:pStyle w:val="NormalWeb"/>
        <w:numPr>
          <w:ilvl w:val="0"/>
          <w:numId w:val="1"/>
        </w:numPr>
        <w:spacing w:before="0" w:beforeAutospacing="0" w:after="0" w:afterAutospacing="0"/>
        <w:rPr>
          <w:sz w:val="20"/>
          <w:szCs w:val="20"/>
        </w:rPr>
      </w:pPr>
      <w:r w:rsidRPr="005238F1">
        <w:rPr>
          <w:sz w:val="20"/>
          <w:szCs w:val="20"/>
        </w:rPr>
        <w:t>Mujeres con 2 cesáreas anteriores: Parieron con éxito 584 de 871 o sea un 67%</w:t>
      </w:r>
    </w:p>
    <w:p w:rsidR="00FF09ED" w:rsidRPr="005238F1" w:rsidRDefault="00FF09ED" w:rsidP="00FF09ED">
      <w:pPr>
        <w:pStyle w:val="NormalWeb"/>
        <w:numPr>
          <w:ilvl w:val="0"/>
          <w:numId w:val="1"/>
        </w:numPr>
        <w:spacing w:before="0" w:beforeAutospacing="0" w:after="0" w:afterAutospacing="0"/>
        <w:rPr>
          <w:sz w:val="20"/>
          <w:szCs w:val="20"/>
        </w:rPr>
      </w:pPr>
      <w:r w:rsidRPr="005238F1">
        <w:rPr>
          <w:sz w:val="20"/>
          <w:szCs w:val="20"/>
        </w:rPr>
        <w:t>Mujeres con 3 cesáreas anteriores:  53 de 84, o sea 63%</w:t>
      </w:r>
    </w:p>
    <w:p w:rsidR="00FF09ED" w:rsidRPr="005238F1" w:rsidRDefault="00FF09ED" w:rsidP="00FF09ED">
      <w:pPr>
        <w:pStyle w:val="NormalWeb"/>
        <w:numPr>
          <w:ilvl w:val="0"/>
          <w:numId w:val="1"/>
        </w:numPr>
        <w:spacing w:before="0" w:beforeAutospacing="0" w:after="0" w:afterAutospacing="0"/>
        <w:rPr>
          <w:sz w:val="20"/>
          <w:szCs w:val="20"/>
        </w:rPr>
      </w:pPr>
      <w:r w:rsidRPr="005238F1">
        <w:rPr>
          <w:sz w:val="20"/>
          <w:szCs w:val="20"/>
        </w:rPr>
        <w:t>Mujeres con 4 cesáreas previas: 11 de 20, o sea 55 %</w:t>
      </w:r>
    </w:p>
    <w:p w:rsidR="00FF09ED" w:rsidRPr="005238F1" w:rsidRDefault="00FF09ED" w:rsidP="00FF09ED">
      <w:pPr>
        <w:pStyle w:val="NormalWeb"/>
        <w:spacing w:before="0" w:beforeAutospacing="0" w:after="0" w:afterAutospacing="0"/>
        <w:ind w:left="60"/>
        <w:rPr>
          <w:sz w:val="20"/>
          <w:szCs w:val="20"/>
        </w:rPr>
      </w:pPr>
    </w:p>
    <w:p w:rsidR="00FF09ED" w:rsidRPr="005238F1" w:rsidRDefault="00FF09ED" w:rsidP="00FF09ED">
      <w:pPr>
        <w:pStyle w:val="NormalWeb"/>
        <w:spacing w:before="0" w:beforeAutospacing="0" w:after="0" w:afterAutospacing="0"/>
        <w:rPr>
          <w:rFonts w:ascii="Tahoma" w:hAnsi="Tahoma" w:cs="Tahoma"/>
          <w:sz w:val="20"/>
          <w:szCs w:val="20"/>
        </w:rPr>
      </w:pPr>
      <w:r w:rsidRPr="005238F1">
        <w:rPr>
          <w:b/>
          <w:bCs/>
          <w:sz w:val="20"/>
          <w:szCs w:val="20"/>
        </w:rPr>
        <w:t>Conclusiones del autor:</w:t>
      </w:r>
    </w:p>
    <w:p w:rsidR="00FF09ED" w:rsidRPr="005238F1" w:rsidRDefault="00FF09ED" w:rsidP="00FF09ED">
      <w:pPr>
        <w:pStyle w:val="NormalWeb"/>
        <w:spacing w:before="0" w:beforeAutospacing="0" w:after="0" w:afterAutospacing="0"/>
        <w:rPr>
          <w:bCs/>
          <w:sz w:val="20"/>
          <w:szCs w:val="20"/>
        </w:rPr>
      </w:pPr>
      <w:proofErr w:type="spellStart"/>
      <w:r w:rsidRPr="005238F1">
        <w:rPr>
          <w:sz w:val="20"/>
          <w:szCs w:val="20"/>
        </w:rPr>
        <w:t>Landon</w:t>
      </w:r>
      <w:proofErr w:type="spellEnd"/>
      <w:r w:rsidRPr="005238F1">
        <w:rPr>
          <w:sz w:val="20"/>
          <w:szCs w:val="20"/>
        </w:rPr>
        <w:t xml:space="preserve">  concluye el estudio diciendo que no hay un aumento significativo del riesgo de rotura uterina en mujeres que tienen dos o más cesáreas comparado con las que tienen una  y </w:t>
      </w:r>
      <w:r w:rsidRPr="005238F1">
        <w:rPr>
          <w:bCs/>
          <w:sz w:val="20"/>
          <w:szCs w:val="20"/>
        </w:rPr>
        <w:t xml:space="preserve">el riesgo absoluto de complicaciones es </w:t>
      </w:r>
      <w:proofErr w:type="gramStart"/>
      <w:r w:rsidRPr="005238F1">
        <w:rPr>
          <w:bCs/>
          <w:sz w:val="20"/>
          <w:szCs w:val="20"/>
        </w:rPr>
        <w:t>pequeño</w:t>
      </w:r>
      <w:proofErr w:type="gramEnd"/>
      <w:r w:rsidRPr="005238F1">
        <w:rPr>
          <w:sz w:val="20"/>
          <w:szCs w:val="20"/>
        </w:rPr>
        <w:t xml:space="preserve">. </w:t>
      </w:r>
      <w:r w:rsidRPr="005238F1">
        <w:rPr>
          <w:bCs/>
          <w:sz w:val="20"/>
          <w:szCs w:val="20"/>
        </w:rPr>
        <w:t>El parto vaginal después de múltiples cesáreas debería ser una opción para las mujeres.</w:t>
      </w:r>
    </w:p>
    <w:p w:rsidR="00FF09ED" w:rsidRPr="005238F1" w:rsidRDefault="00FF09ED" w:rsidP="00FF09ED">
      <w:pPr>
        <w:pStyle w:val="NormalWeb"/>
        <w:spacing w:before="0" w:beforeAutospacing="0" w:after="0" w:afterAutospacing="0"/>
        <w:rPr>
          <w:rFonts w:ascii="Tahoma" w:hAnsi="Tahoma" w:cs="Tahoma"/>
          <w:sz w:val="20"/>
          <w:szCs w:val="20"/>
          <w:lang w:val="en-GB"/>
        </w:rPr>
      </w:pPr>
      <w:r w:rsidRPr="005238F1">
        <w:rPr>
          <w:bCs/>
          <w:sz w:val="20"/>
          <w:szCs w:val="20"/>
          <w:lang w:val="en-GB"/>
        </w:rPr>
        <w:t xml:space="preserve">Landon, </w:t>
      </w:r>
      <w:proofErr w:type="spellStart"/>
      <w:r w:rsidRPr="005238F1">
        <w:rPr>
          <w:bCs/>
          <w:sz w:val="20"/>
          <w:szCs w:val="20"/>
          <w:lang w:val="en-GB"/>
        </w:rPr>
        <w:t>publicado</w:t>
      </w:r>
      <w:proofErr w:type="spellEnd"/>
      <w:r w:rsidRPr="005238F1">
        <w:rPr>
          <w:bCs/>
          <w:sz w:val="20"/>
          <w:szCs w:val="20"/>
          <w:lang w:val="en-GB"/>
        </w:rPr>
        <w:t xml:space="preserve"> en </w:t>
      </w:r>
      <w:r w:rsidRPr="005238F1">
        <w:rPr>
          <w:bCs/>
          <w:i/>
          <w:iCs/>
          <w:sz w:val="20"/>
          <w:szCs w:val="20"/>
          <w:lang w:val="en-GB"/>
        </w:rPr>
        <w:t xml:space="preserve">Obstetrics &amp; </w:t>
      </w:r>
      <w:proofErr w:type="spellStart"/>
      <w:r w:rsidRPr="005238F1">
        <w:rPr>
          <w:bCs/>
          <w:i/>
          <w:iCs/>
          <w:sz w:val="20"/>
          <w:szCs w:val="20"/>
          <w:lang w:val="en-GB"/>
        </w:rPr>
        <w:t>Gynecology</w:t>
      </w:r>
      <w:proofErr w:type="spellEnd"/>
      <w:r w:rsidRPr="005238F1">
        <w:rPr>
          <w:bCs/>
          <w:sz w:val="20"/>
          <w:szCs w:val="20"/>
          <w:lang w:val="en-GB"/>
        </w:rPr>
        <w:t xml:space="preserve"> 2006</w:t>
      </w:r>
      <w:proofErr w:type="gramStart"/>
      <w:r w:rsidRPr="005238F1">
        <w:rPr>
          <w:bCs/>
          <w:sz w:val="20"/>
          <w:szCs w:val="20"/>
          <w:lang w:val="en-GB"/>
        </w:rPr>
        <w:t>;108:12</w:t>
      </w:r>
      <w:proofErr w:type="gramEnd"/>
      <w:r w:rsidRPr="005238F1">
        <w:rPr>
          <w:bCs/>
          <w:sz w:val="20"/>
          <w:szCs w:val="20"/>
          <w:lang w:val="en-GB"/>
        </w:rPr>
        <w:t xml:space="preserve">-20 </w:t>
      </w:r>
      <w:r w:rsidRPr="005238F1">
        <w:rPr>
          <w:bCs/>
          <w:iCs/>
          <w:sz w:val="20"/>
          <w:szCs w:val="20"/>
          <w:lang w:val="en-GB"/>
        </w:rPr>
        <w:t xml:space="preserve">Risk of Uterine Rupture With a Trial of </w:t>
      </w:r>
      <w:proofErr w:type="spellStart"/>
      <w:r w:rsidRPr="005238F1">
        <w:rPr>
          <w:bCs/>
          <w:iCs/>
          <w:sz w:val="20"/>
          <w:szCs w:val="20"/>
          <w:lang w:val="en-GB"/>
        </w:rPr>
        <w:t>Labor</w:t>
      </w:r>
      <w:proofErr w:type="spellEnd"/>
      <w:r w:rsidRPr="005238F1">
        <w:rPr>
          <w:bCs/>
          <w:iCs/>
          <w:sz w:val="20"/>
          <w:szCs w:val="20"/>
          <w:lang w:val="en-GB"/>
        </w:rPr>
        <w:t xml:space="preserve"> in Women With Multiple and Single Prior </w:t>
      </w:r>
      <w:proofErr w:type="spellStart"/>
      <w:r w:rsidRPr="005238F1">
        <w:rPr>
          <w:bCs/>
          <w:iCs/>
          <w:sz w:val="20"/>
          <w:szCs w:val="20"/>
          <w:lang w:val="en-GB"/>
        </w:rPr>
        <w:t>Cesarean</w:t>
      </w:r>
      <w:proofErr w:type="spellEnd"/>
      <w:r w:rsidRPr="005238F1">
        <w:rPr>
          <w:bCs/>
          <w:iCs/>
          <w:sz w:val="20"/>
          <w:szCs w:val="20"/>
          <w:lang w:val="en-GB"/>
        </w:rPr>
        <w:t xml:space="preserve"> Delivery</w:t>
      </w:r>
      <w:r w:rsidRPr="005238F1">
        <w:rPr>
          <w:bCs/>
          <w:sz w:val="20"/>
          <w:szCs w:val="20"/>
          <w:lang w:val="en-GB"/>
        </w:rPr>
        <w:t xml:space="preserve"> </w:t>
      </w:r>
    </w:p>
    <w:p w:rsidR="00FF09ED" w:rsidRPr="00240E42" w:rsidRDefault="00FF09ED" w:rsidP="00C8442F">
      <w:pPr>
        <w:rPr>
          <w:rFonts w:ascii="Tahoma" w:hAnsi="Tahoma" w:cs="Tahoma"/>
          <w:sz w:val="20"/>
          <w:szCs w:val="20"/>
        </w:rPr>
      </w:pPr>
      <w:r w:rsidRPr="005238F1">
        <w:rPr>
          <w:b/>
          <w:bCs/>
          <w:sz w:val="20"/>
          <w:szCs w:val="20"/>
        </w:rPr>
        <w:t>Otro estudio sobre PVD2C:</w:t>
      </w:r>
    </w:p>
    <w:p w:rsidR="00FF09ED" w:rsidRPr="005238F1" w:rsidRDefault="00FF09ED" w:rsidP="00FF09ED">
      <w:pPr>
        <w:pStyle w:val="NormalWeb"/>
        <w:spacing w:before="0" w:beforeAutospacing="0" w:after="0" w:afterAutospacing="0"/>
        <w:rPr>
          <w:sz w:val="20"/>
          <w:szCs w:val="20"/>
        </w:rPr>
      </w:pPr>
      <w:r w:rsidRPr="005238F1">
        <w:rPr>
          <w:sz w:val="20"/>
          <w:szCs w:val="20"/>
        </w:rPr>
        <w:t>Comparación de resultados de todas las mujeres con una versus dos cesáreas anteriores que intentaron un PVDC:</w:t>
      </w:r>
    </w:p>
    <w:p w:rsidR="00FF09ED" w:rsidRPr="005238F1" w:rsidRDefault="00FF09ED" w:rsidP="00FF09ED">
      <w:pPr>
        <w:pStyle w:val="NormalWeb"/>
        <w:spacing w:before="0" w:beforeAutospacing="0" w:after="0" w:afterAutospacing="0"/>
        <w:rPr>
          <w:sz w:val="20"/>
          <w:szCs w:val="20"/>
        </w:rPr>
      </w:pPr>
      <w:r w:rsidRPr="005238F1">
        <w:rPr>
          <w:sz w:val="20"/>
          <w:szCs w:val="20"/>
        </w:rPr>
        <w:t xml:space="preserve">20.175 pruebas de PVDC </w:t>
      </w:r>
    </w:p>
    <w:p w:rsidR="00FF09ED" w:rsidRPr="005238F1" w:rsidRDefault="00FF09ED" w:rsidP="00FF09ED">
      <w:pPr>
        <w:pStyle w:val="NormalWeb"/>
        <w:spacing w:before="0" w:beforeAutospacing="0" w:after="0" w:afterAutospacing="0"/>
        <w:rPr>
          <w:sz w:val="20"/>
          <w:szCs w:val="20"/>
        </w:rPr>
      </w:pPr>
      <w:r w:rsidRPr="005238F1">
        <w:rPr>
          <w:sz w:val="20"/>
          <w:szCs w:val="20"/>
        </w:rPr>
        <w:t>3.970 pruebas de PVD2C</w:t>
      </w:r>
    </w:p>
    <w:p w:rsidR="00FF09ED" w:rsidRPr="005238F1" w:rsidRDefault="00FF09ED" w:rsidP="00FF09ED">
      <w:pPr>
        <w:pStyle w:val="NormalWeb"/>
        <w:spacing w:before="0" w:beforeAutospacing="0" w:after="0" w:afterAutospacing="0"/>
        <w:rPr>
          <w:sz w:val="20"/>
          <w:szCs w:val="20"/>
        </w:rPr>
      </w:pPr>
      <w:r w:rsidRPr="005238F1">
        <w:rPr>
          <w:sz w:val="20"/>
          <w:szCs w:val="20"/>
        </w:rPr>
        <w:t>Resultados:</w:t>
      </w:r>
    </w:p>
    <w:p w:rsidR="00FF09ED" w:rsidRPr="005238F1" w:rsidRDefault="00FF09ED" w:rsidP="00FF09ED">
      <w:pPr>
        <w:pStyle w:val="NormalWeb"/>
        <w:spacing w:before="0" w:beforeAutospacing="0" w:after="0" w:afterAutospacing="0"/>
        <w:rPr>
          <w:sz w:val="20"/>
          <w:szCs w:val="20"/>
        </w:rPr>
      </w:pPr>
      <w:r w:rsidRPr="005238F1">
        <w:rPr>
          <w:sz w:val="20"/>
          <w:szCs w:val="20"/>
        </w:rPr>
        <w:t>El porcentaje de éxito fue similar: (75.5% versus 74.6%)</w:t>
      </w:r>
    </w:p>
    <w:p w:rsidR="00FF09ED" w:rsidRPr="005238F1" w:rsidRDefault="00FF09ED" w:rsidP="00FF09ED">
      <w:pPr>
        <w:pStyle w:val="NormalWeb"/>
        <w:spacing w:before="0" w:beforeAutospacing="0" w:after="0" w:afterAutospacing="0"/>
        <w:rPr>
          <w:sz w:val="20"/>
          <w:szCs w:val="20"/>
        </w:rPr>
      </w:pPr>
      <w:r w:rsidRPr="005238F1">
        <w:rPr>
          <w:sz w:val="20"/>
          <w:szCs w:val="20"/>
        </w:rPr>
        <w:t>El riesgo de morbilidad fue mayor en las pruebas de PVD2C, pero el riesgo absoluto era muy bajo (</w:t>
      </w:r>
      <w:proofErr w:type="spellStart"/>
      <w:r w:rsidRPr="005238F1">
        <w:rPr>
          <w:sz w:val="20"/>
          <w:szCs w:val="20"/>
        </w:rPr>
        <w:t>Odds</w:t>
      </w:r>
      <w:proofErr w:type="spellEnd"/>
      <w:r w:rsidRPr="005238F1">
        <w:rPr>
          <w:sz w:val="20"/>
          <w:szCs w:val="20"/>
        </w:rPr>
        <w:t xml:space="preserve"> ratio ajustada 1.61 versus 2.26)</w:t>
      </w:r>
    </w:p>
    <w:p w:rsidR="00FF09ED" w:rsidRPr="005238F1" w:rsidRDefault="00FF09ED" w:rsidP="00FF09ED">
      <w:pPr>
        <w:pStyle w:val="NormalWeb"/>
        <w:spacing w:before="0" w:beforeAutospacing="0" w:after="0" w:afterAutospacing="0"/>
        <w:rPr>
          <w:sz w:val="20"/>
          <w:szCs w:val="20"/>
        </w:rPr>
      </w:pPr>
      <w:proofErr w:type="spellStart"/>
      <w:proofErr w:type="gramStart"/>
      <w:r w:rsidRPr="005238F1">
        <w:rPr>
          <w:bCs/>
          <w:sz w:val="20"/>
          <w:szCs w:val="20"/>
          <w:lang w:val="en-GB"/>
        </w:rPr>
        <w:t>Maconnes</w:t>
      </w:r>
      <w:proofErr w:type="spellEnd"/>
      <w:r w:rsidRPr="005238F1">
        <w:rPr>
          <w:bCs/>
          <w:sz w:val="20"/>
          <w:szCs w:val="20"/>
          <w:lang w:val="en-GB"/>
        </w:rPr>
        <w:t xml:space="preserve">  Ob</w:t>
      </w:r>
      <w:proofErr w:type="gramEnd"/>
      <w:r w:rsidRPr="005238F1">
        <w:rPr>
          <w:bCs/>
          <w:sz w:val="20"/>
          <w:szCs w:val="20"/>
          <w:lang w:val="en-GB"/>
        </w:rPr>
        <w:t xml:space="preserve"> outcomes in women with 2 prior </w:t>
      </w:r>
      <w:proofErr w:type="spellStart"/>
      <w:r w:rsidRPr="005238F1">
        <w:rPr>
          <w:bCs/>
          <w:sz w:val="20"/>
          <w:szCs w:val="20"/>
          <w:lang w:val="en-GB"/>
        </w:rPr>
        <w:t>cesarean</w:t>
      </w:r>
      <w:proofErr w:type="spellEnd"/>
      <w:r w:rsidRPr="005238F1">
        <w:rPr>
          <w:bCs/>
          <w:sz w:val="20"/>
          <w:szCs w:val="20"/>
          <w:lang w:val="en-GB"/>
        </w:rPr>
        <w:t xml:space="preserve"> deliveries: is VBAC a viable option?. </w:t>
      </w:r>
      <w:r w:rsidRPr="005238F1">
        <w:rPr>
          <w:bCs/>
          <w:sz w:val="20"/>
          <w:szCs w:val="20"/>
        </w:rPr>
        <w:t>AJOG, 2005: 192, p.123.</w:t>
      </w:r>
    </w:p>
    <w:p w:rsidR="00FF09ED" w:rsidRPr="005238F1" w:rsidRDefault="00FF09ED" w:rsidP="00FF09ED">
      <w:pPr>
        <w:pStyle w:val="NormalWeb"/>
        <w:spacing w:before="0" w:beforeAutospacing="0" w:after="0" w:afterAutospacing="0"/>
        <w:rPr>
          <w:sz w:val="20"/>
          <w:szCs w:val="20"/>
        </w:rPr>
      </w:pPr>
      <w:r w:rsidRPr="005238F1">
        <w:rPr>
          <w:sz w:val="20"/>
          <w:szCs w:val="20"/>
        </w:rPr>
        <w:t> </w:t>
      </w:r>
    </w:p>
    <w:p w:rsidR="00FF09ED" w:rsidRPr="005238F1" w:rsidRDefault="00FF09ED" w:rsidP="00FF09ED">
      <w:pPr>
        <w:rPr>
          <w:bCs/>
          <w:sz w:val="20"/>
          <w:szCs w:val="20"/>
        </w:rPr>
      </w:pPr>
      <w:r w:rsidRPr="005238F1">
        <w:rPr>
          <w:b/>
          <w:bCs/>
          <w:sz w:val="20"/>
          <w:szCs w:val="20"/>
        </w:rPr>
        <w:t xml:space="preserve">Todavía más ciencia sobre PVDC después de múltiples cesáreas </w:t>
      </w:r>
    </w:p>
    <w:p w:rsidR="00FF09ED" w:rsidRPr="005238F1" w:rsidRDefault="00FF09ED" w:rsidP="00FF09ED">
      <w:pPr>
        <w:rPr>
          <w:bCs/>
          <w:sz w:val="20"/>
          <w:szCs w:val="20"/>
          <w:lang w:val="es-ES_tradnl"/>
        </w:rPr>
      </w:pPr>
      <w:r w:rsidRPr="005238F1">
        <w:rPr>
          <w:bCs/>
          <w:sz w:val="20"/>
          <w:szCs w:val="20"/>
          <w:lang w:val="es-ES_tradnl"/>
        </w:rPr>
        <w:t>25.000 mujeres que intentaron el trabajo de parto con 1 o más cesáreas en EEUU entre los años 1996-2000. No hubo diferencias en morbilidad en comparación con los partos vaginales después de una sola cesárea. Y además la tasa de cesáreas es prácticamente la misma que la tasa de cesáreas actual en España para todas las mujeres.</w:t>
      </w:r>
    </w:p>
    <w:p w:rsidR="00FF09ED" w:rsidRPr="005238F1" w:rsidRDefault="00FF09ED" w:rsidP="00FF09ED">
      <w:pPr>
        <w:rPr>
          <w:bCs/>
          <w:sz w:val="20"/>
          <w:szCs w:val="20"/>
          <w:lang w:val="es-ES_tradnl"/>
        </w:rPr>
      </w:pPr>
      <w:r w:rsidRPr="005238F1">
        <w:rPr>
          <w:bCs/>
          <w:sz w:val="20"/>
          <w:szCs w:val="20"/>
          <w:lang w:val="es-ES_tradnl"/>
        </w:rPr>
        <w:t xml:space="preserve">Consiguieron parir: </w:t>
      </w:r>
    </w:p>
    <w:p w:rsidR="00FF09ED" w:rsidRPr="005238F1" w:rsidRDefault="00FF09ED" w:rsidP="00FF09ED">
      <w:pPr>
        <w:rPr>
          <w:bCs/>
          <w:sz w:val="20"/>
          <w:szCs w:val="20"/>
          <w:lang w:val="es-ES_tradnl"/>
        </w:rPr>
      </w:pPr>
      <w:r w:rsidRPr="005238F1">
        <w:rPr>
          <w:bCs/>
          <w:sz w:val="20"/>
          <w:szCs w:val="20"/>
          <w:lang w:val="es-ES_tradnl"/>
        </w:rPr>
        <w:t>Tras una sola cesárea el 79,8%</w:t>
      </w:r>
    </w:p>
    <w:p w:rsidR="00FF09ED" w:rsidRPr="005238F1" w:rsidRDefault="00FF09ED" w:rsidP="00FF09ED">
      <w:pPr>
        <w:rPr>
          <w:bCs/>
          <w:sz w:val="20"/>
          <w:szCs w:val="20"/>
          <w:lang w:val="es-ES_tradnl"/>
        </w:rPr>
      </w:pPr>
      <w:r w:rsidRPr="005238F1">
        <w:rPr>
          <w:bCs/>
          <w:sz w:val="20"/>
          <w:szCs w:val="20"/>
          <w:lang w:val="es-ES_tradnl"/>
        </w:rPr>
        <w:t>Tras dos cesáreas el  75.5%</w:t>
      </w:r>
    </w:p>
    <w:p w:rsidR="00FF09ED" w:rsidRPr="005238F1" w:rsidRDefault="00FF09ED" w:rsidP="00FF09ED">
      <w:pPr>
        <w:rPr>
          <w:bCs/>
          <w:sz w:val="20"/>
          <w:szCs w:val="20"/>
          <w:lang w:val="es-ES_tradnl"/>
        </w:rPr>
      </w:pPr>
      <w:r w:rsidRPr="005238F1">
        <w:rPr>
          <w:bCs/>
          <w:sz w:val="20"/>
          <w:szCs w:val="20"/>
          <w:lang w:val="es-ES_tradnl"/>
        </w:rPr>
        <w:t>Tras tres cesáreas o más el 74,6%</w:t>
      </w:r>
    </w:p>
    <w:p w:rsidR="00FF09ED" w:rsidRPr="005238F1" w:rsidRDefault="00FF09ED" w:rsidP="00FF09ED">
      <w:pPr>
        <w:rPr>
          <w:bCs/>
          <w:sz w:val="20"/>
          <w:szCs w:val="20"/>
          <w:lang w:val="es-ES_tradnl"/>
        </w:rPr>
      </w:pPr>
    </w:p>
    <w:p w:rsidR="00FF09ED" w:rsidRPr="005238F1" w:rsidRDefault="00FF09ED" w:rsidP="00FF09ED">
      <w:pPr>
        <w:rPr>
          <w:b/>
          <w:bCs/>
          <w:sz w:val="20"/>
          <w:szCs w:val="20"/>
        </w:rPr>
      </w:pPr>
      <w:r w:rsidRPr="005238F1">
        <w:rPr>
          <w:bCs/>
          <w:sz w:val="20"/>
          <w:szCs w:val="20"/>
          <w:lang w:val="en-GB"/>
        </w:rPr>
        <w:t xml:space="preserve">Cahill A. </w:t>
      </w:r>
      <w:proofErr w:type="spellStart"/>
      <w:r w:rsidRPr="005238F1">
        <w:rPr>
          <w:bCs/>
          <w:sz w:val="20"/>
          <w:szCs w:val="20"/>
          <w:lang w:val="en-GB"/>
        </w:rPr>
        <w:t>Tuuli</w:t>
      </w:r>
      <w:proofErr w:type="spellEnd"/>
      <w:r w:rsidRPr="005238F1">
        <w:rPr>
          <w:bCs/>
          <w:sz w:val="20"/>
          <w:szCs w:val="20"/>
          <w:lang w:val="en-GB"/>
        </w:rPr>
        <w:t xml:space="preserve"> M, </w:t>
      </w:r>
      <w:proofErr w:type="spellStart"/>
      <w:r w:rsidRPr="005238F1">
        <w:rPr>
          <w:bCs/>
          <w:sz w:val="20"/>
          <w:szCs w:val="20"/>
          <w:lang w:val="en-GB"/>
        </w:rPr>
        <w:t>Odibo</w:t>
      </w:r>
      <w:proofErr w:type="spellEnd"/>
      <w:r w:rsidRPr="005238F1">
        <w:rPr>
          <w:bCs/>
          <w:sz w:val="20"/>
          <w:szCs w:val="20"/>
          <w:lang w:val="en-GB"/>
        </w:rPr>
        <w:t xml:space="preserve"> A, </w:t>
      </w:r>
      <w:proofErr w:type="spellStart"/>
      <w:proofErr w:type="gramStart"/>
      <w:r w:rsidRPr="005238F1">
        <w:rPr>
          <w:bCs/>
          <w:sz w:val="20"/>
          <w:szCs w:val="20"/>
          <w:lang w:val="en-GB"/>
        </w:rPr>
        <w:t>Stamilio</w:t>
      </w:r>
      <w:proofErr w:type="spellEnd"/>
      <w:proofErr w:type="gramEnd"/>
      <w:r w:rsidRPr="005238F1">
        <w:rPr>
          <w:bCs/>
          <w:sz w:val="20"/>
          <w:szCs w:val="20"/>
          <w:lang w:val="en-GB"/>
        </w:rPr>
        <w:t xml:space="preserve"> D, </w:t>
      </w:r>
      <w:proofErr w:type="spellStart"/>
      <w:r w:rsidRPr="005238F1">
        <w:rPr>
          <w:bCs/>
          <w:sz w:val="20"/>
          <w:szCs w:val="20"/>
          <w:lang w:val="en-GB"/>
        </w:rPr>
        <w:t>Macones</w:t>
      </w:r>
      <w:proofErr w:type="spellEnd"/>
      <w:r w:rsidRPr="005238F1">
        <w:rPr>
          <w:bCs/>
          <w:sz w:val="20"/>
          <w:szCs w:val="20"/>
          <w:lang w:val="en-GB"/>
        </w:rPr>
        <w:t xml:space="preserve"> G. Vaginal birth after caesarean for women with three or more prior caesareans: assessing safety and success. </w:t>
      </w:r>
      <w:r w:rsidRPr="005238F1">
        <w:rPr>
          <w:b/>
          <w:bCs/>
          <w:sz w:val="20"/>
          <w:szCs w:val="20"/>
        </w:rPr>
        <w:t xml:space="preserve">BJOG 2010 </w:t>
      </w:r>
      <w:r w:rsidRPr="005238F1">
        <w:rPr>
          <w:bCs/>
          <w:sz w:val="20"/>
          <w:szCs w:val="20"/>
        </w:rPr>
        <w:t xml:space="preserve"> </w:t>
      </w:r>
    </w:p>
    <w:p w:rsidR="00FF09ED" w:rsidRPr="005238F1" w:rsidRDefault="00FF09ED" w:rsidP="00FF09ED">
      <w:pPr>
        <w:rPr>
          <w:bCs/>
          <w:sz w:val="20"/>
          <w:szCs w:val="20"/>
        </w:rPr>
      </w:pPr>
    </w:p>
    <w:p w:rsidR="00FF09ED" w:rsidRPr="005238F1" w:rsidRDefault="00FF09ED" w:rsidP="00FF09ED">
      <w:pPr>
        <w:rPr>
          <w:b/>
          <w:bCs/>
          <w:sz w:val="20"/>
          <w:szCs w:val="20"/>
        </w:rPr>
      </w:pPr>
      <w:r w:rsidRPr="005238F1">
        <w:rPr>
          <w:b/>
          <w:bCs/>
          <w:sz w:val="20"/>
          <w:szCs w:val="20"/>
        </w:rPr>
        <w:t>Conclusión de los autores:</w:t>
      </w:r>
    </w:p>
    <w:p w:rsidR="00FF09ED" w:rsidRPr="005238F1" w:rsidRDefault="00FF09ED" w:rsidP="00FF09ED">
      <w:pPr>
        <w:rPr>
          <w:bCs/>
          <w:sz w:val="20"/>
          <w:szCs w:val="20"/>
        </w:rPr>
      </w:pPr>
      <w:r w:rsidRPr="005238F1">
        <w:rPr>
          <w:bCs/>
          <w:sz w:val="20"/>
          <w:szCs w:val="20"/>
        </w:rPr>
        <w:t xml:space="preserve">No hay un aumento significativo del riesgo de rotura uterina en mujeres que tienen dos o más cesáreas comparado con las que tienen una  y el riesgo absoluto de complicaciones es </w:t>
      </w:r>
      <w:proofErr w:type="gramStart"/>
      <w:r w:rsidRPr="005238F1">
        <w:rPr>
          <w:bCs/>
          <w:sz w:val="20"/>
          <w:szCs w:val="20"/>
        </w:rPr>
        <w:t>pequeño</w:t>
      </w:r>
      <w:proofErr w:type="gramEnd"/>
      <w:r w:rsidRPr="005238F1">
        <w:rPr>
          <w:bCs/>
          <w:sz w:val="20"/>
          <w:szCs w:val="20"/>
        </w:rPr>
        <w:t xml:space="preserve">. El parto vaginal después de múltiples cesáreas debería ser una opción para las mujeres. </w:t>
      </w:r>
    </w:p>
    <w:p w:rsidR="00D2750D" w:rsidRPr="005238F1" w:rsidRDefault="00D2750D" w:rsidP="00FF09ED">
      <w:pPr>
        <w:rPr>
          <w:bCs/>
          <w:sz w:val="20"/>
          <w:szCs w:val="20"/>
        </w:rPr>
      </w:pPr>
    </w:p>
    <w:p w:rsidR="00FF0E13" w:rsidRPr="005238F1" w:rsidRDefault="00FF0E13" w:rsidP="00FF09ED">
      <w:pPr>
        <w:rPr>
          <w:b/>
          <w:bCs/>
          <w:sz w:val="20"/>
          <w:szCs w:val="20"/>
        </w:rPr>
      </w:pPr>
      <w:r w:rsidRPr="005238F1">
        <w:rPr>
          <w:b/>
          <w:bCs/>
          <w:sz w:val="20"/>
          <w:szCs w:val="20"/>
        </w:rPr>
        <w:t xml:space="preserve">PARIR O NO PARIR: </w:t>
      </w:r>
    </w:p>
    <w:p w:rsidR="00D2750D" w:rsidRPr="005238F1" w:rsidRDefault="00D2750D" w:rsidP="00FF09ED">
      <w:pPr>
        <w:rPr>
          <w:bCs/>
          <w:sz w:val="20"/>
          <w:szCs w:val="20"/>
        </w:rPr>
      </w:pPr>
      <w:r w:rsidRPr="005238F1">
        <w:rPr>
          <w:bCs/>
          <w:sz w:val="20"/>
          <w:szCs w:val="20"/>
        </w:rPr>
        <w:t>Las  mujeres que deciden tener un parto vaginal después de dos o más cesáreas prefieren elegir el riesgo que conlleva intentar un parto vaginal al riesgo que conlleva realizar una nueva cesárea que desde</w:t>
      </w:r>
      <w:r w:rsidR="00BB3A23" w:rsidRPr="005238F1">
        <w:rPr>
          <w:bCs/>
          <w:sz w:val="20"/>
          <w:szCs w:val="20"/>
        </w:rPr>
        <w:t xml:space="preserve"> </w:t>
      </w:r>
      <w:r w:rsidRPr="005238F1">
        <w:rPr>
          <w:bCs/>
          <w:sz w:val="20"/>
          <w:szCs w:val="20"/>
        </w:rPr>
        <w:t>luego no sol</w:t>
      </w:r>
      <w:r w:rsidR="00BB3A23" w:rsidRPr="005238F1">
        <w:rPr>
          <w:bCs/>
          <w:sz w:val="20"/>
          <w:szCs w:val="20"/>
        </w:rPr>
        <w:t>o NO</w:t>
      </w:r>
      <w:r w:rsidRPr="005238F1">
        <w:rPr>
          <w:bCs/>
          <w:sz w:val="20"/>
          <w:szCs w:val="20"/>
        </w:rPr>
        <w:t xml:space="preserve"> es 0 </w:t>
      </w:r>
      <w:proofErr w:type="spellStart"/>
      <w:r w:rsidRPr="005238F1">
        <w:rPr>
          <w:bCs/>
          <w:sz w:val="20"/>
          <w:szCs w:val="20"/>
        </w:rPr>
        <w:t>sinó</w:t>
      </w:r>
      <w:proofErr w:type="spellEnd"/>
      <w:r w:rsidRPr="005238F1">
        <w:rPr>
          <w:bCs/>
          <w:sz w:val="20"/>
          <w:szCs w:val="20"/>
        </w:rPr>
        <w:t xml:space="preserve"> que es superior</w:t>
      </w:r>
      <w:r w:rsidR="005238F1">
        <w:rPr>
          <w:bCs/>
          <w:sz w:val="20"/>
          <w:szCs w:val="20"/>
        </w:rPr>
        <w:t xml:space="preserve"> tanto para madre como para hijo</w:t>
      </w:r>
      <w:r w:rsidR="007D2EEF" w:rsidRPr="005238F1">
        <w:rPr>
          <w:bCs/>
          <w:sz w:val="20"/>
          <w:szCs w:val="20"/>
        </w:rPr>
        <w:t>.</w:t>
      </w:r>
    </w:p>
    <w:p w:rsidR="00AD2745" w:rsidRDefault="00AD2745" w:rsidP="00FF09ED">
      <w:pPr>
        <w:rPr>
          <w:bCs/>
          <w:sz w:val="20"/>
          <w:szCs w:val="20"/>
        </w:rPr>
      </w:pPr>
      <w:r>
        <w:rPr>
          <w:bCs/>
          <w:sz w:val="20"/>
          <w:szCs w:val="20"/>
        </w:rPr>
        <w:t>Ellas saben bien lo dolorosa que es una recuperación postparto con cesárea, los problemas para vincularse con su bebé y establecer una buena lactancia materna que puede acarrear dicha intervención.</w:t>
      </w:r>
    </w:p>
    <w:p w:rsidR="007D2EEF" w:rsidRPr="005238F1" w:rsidRDefault="007D2EEF" w:rsidP="00FF09ED">
      <w:pPr>
        <w:rPr>
          <w:bCs/>
          <w:sz w:val="20"/>
          <w:szCs w:val="20"/>
        </w:rPr>
      </w:pPr>
      <w:r w:rsidRPr="005238F1">
        <w:rPr>
          <w:bCs/>
          <w:sz w:val="20"/>
          <w:szCs w:val="20"/>
        </w:rPr>
        <w:t>Ellas sienten la necesidad de poder dar al nuevo bebé la bienvenida amorosa y respetada que no pudieron darle a sus hermanos.</w:t>
      </w:r>
    </w:p>
    <w:p w:rsidR="007D2EEF" w:rsidRPr="005238F1" w:rsidRDefault="007D2EEF" w:rsidP="00FF09ED">
      <w:pPr>
        <w:rPr>
          <w:b/>
          <w:sz w:val="20"/>
          <w:szCs w:val="20"/>
        </w:rPr>
      </w:pPr>
    </w:p>
    <w:p w:rsidR="007D2EEF" w:rsidRPr="005238F1" w:rsidRDefault="007D2EEF" w:rsidP="00240E42">
      <w:pPr>
        <w:rPr>
          <w:sz w:val="20"/>
          <w:szCs w:val="20"/>
        </w:rPr>
      </w:pPr>
      <w:r w:rsidRPr="005238F1">
        <w:rPr>
          <w:sz w:val="20"/>
          <w:szCs w:val="20"/>
        </w:rPr>
        <w:t xml:space="preserve">La mayoría de hospitales que tienen protocolo de atención al parto natural no atienden de este modo los PVDC por considerarlos un parto de alto riesgo. Los protocolos de actuación para asistir PVDC en hospital </w:t>
      </w:r>
      <w:r w:rsidRPr="005238F1">
        <w:rPr>
          <w:sz w:val="20"/>
          <w:szCs w:val="20"/>
          <w:lang w:val="es-ES_tradnl"/>
        </w:rPr>
        <w:t xml:space="preserve">están basados en el miedo y la falta de confianza en el cuerpo de las mujeres e </w:t>
      </w:r>
      <w:r w:rsidRPr="005238F1">
        <w:rPr>
          <w:sz w:val="20"/>
          <w:szCs w:val="20"/>
        </w:rPr>
        <w:t xml:space="preserve">incluyen medidas como monitorización </w:t>
      </w:r>
      <w:proofErr w:type="spellStart"/>
      <w:r w:rsidRPr="005238F1">
        <w:rPr>
          <w:sz w:val="20"/>
          <w:szCs w:val="20"/>
        </w:rPr>
        <w:t>cardiotocográfica</w:t>
      </w:r>
      <w:proofErr w:type="spellEnd"/>
      <w:r w:rsidRPr="005238F1">
        <w:rPr>
          <w:sz w:val="20"/>
          <w:szCs w:val="20"/>
        </w:rPr>
        <w:t xml:space="preserve"> continua e interna, </w:t>
      </w:r>
      <w:proofErr w:type="spellStart"/>
      <w:r w:rsidRPr="005238F1">
        <w:rPr>
          <w:sz w:val="20"/>
          <w:szCs w:val="20"/>
        </w:rPr>
        <w:t>peridural</w:t>
      </w:r>
      <w:proofErr w:type="spellEnd"/>
      <w:r w:rsidRPr="005238F1">
        <w:rPr>
          <w:sz w:val="20"/>
          <w:szCs w:val="20"/>
        </w:rPr>
        <w:t xml:space="preserve"> si o si y fórceps, espátulas o ventosa para </w:t>
      </w:r>
      <w:r w:rsidR="00F10520" w:rsidRPr="005238F1">
        <w:rPr>
          <w:sz w:val="20"/>
          <w:szCs w:val="20"/>
        </w:rPr>
        <w:t>acortar la fase de pujos</w:t>
      </w:r>
      <w:r w:rsidRPr="005238F1">
        <w:rPr>
          <w:sz w:val="20"/>
          <w:szCs w:val="20"/>
        </w:rPr>
        <w:t>, esto en el mejor de los casos, porque en la</w:t>
      </w:r>
      <w:r w:rsidR="00F10520" w:rsidRPr="005238F1">
        <w:rPr>
          <w:sz w:val="20"/>
          <w:szCs w:val="20"/>
        </w:rPr>
        <w:t xml:space="preserve"> mayoría de clínicas</w:t>
      </w:r>
      <w:r w:rsidRPr="005238F1">
        <w:rPr>
          <w:sz w:val="20"/>
          <w:szCs w:val="20"/>
        </w:rPr>
        <w:t xml:space="preserve"> privada</w:t>
      </w:r>
      <w:r w:rsidR="00F10520" w:rsidRPr="005238F1">
        <w:rPr>
          <w:sz w:val="20"/>
          <w:szCs w:val="20"/>
        </w:rPr>
        <w:t>s</w:t>
      </w:r>
      <w:r w:rsidRPr="005238F1">
        <w:rPr>
          <w:sz w:val="20"/>
          <w:szCs w:val="20"/>
        </w:rPr>
        <w:t xml:space="preserve">, solo por el simple motivo de tener una cesárea anterior ya practican una cesárea programada a más de la mitad de las mujeres. Todo ello implica un riesgo mayor para la madre y para el bebé. Los riesgos de una monitorización interna como desprendimiento de placenta y perforación uterina, los propios de una cesárea como hemorragia postparto incontrolable, histerectomía, daños al bebé, mayor riesgo de prematuridad </w:t>
      </w:r>
      <w:proofErr w:type="spellStart"/>
      <w:r w:rsidRPr="005238F1">
        <w:rPr>
          <w:sz w:val="20"/>
          <w:szCs w:val="20"/>
        </w:rPr>
        <w:t>yatrogénica</w:t>
      </w:r>
      <w:proofErr w:type="spellEnd"/>
      <w:r w:rsidRPr="005238F1">
        <w:rPr>
          <w:sz w:val="20"/>
          <w:szCs w:val="20"/>
        </w:rPr>
        <w:t xml:space="preserve">, mayor </w:t>
      </w:r>
      <w:r w:rsidR="00FF0E13" w:rsidRPr="005238F1">
        <w:rPr>
          <w:sz w:val="20"/>
          <w:szCs w:val="20"/>
        </w:rPr>
        <w:t>riesgo de mortalidad neonatal (</w:t>
      </w:r>
      <w:r w:rsidRPr="005238F1">
        <w:rPr>
          <w:sz w:val="20"/>
          <w:szCs w:val="20"/>
        </w:rPr>
        <w:t>2,9 veces superior), mayor mortalidad materna, cierto que son riesgos raros, deberían ponerse pues en la misma balanza del riesgo "raro" de una rotura uterina.</w:t>
      </w:r>
    </w:p>
    <w:p w:rsidR="00BB3A23" w:rsidRPr="005238F1" w:rsidRDefault="00BB3A23" w:rsidP="007D2EEF">
      <w:pPr>
        <w:spacing w:after="100" w:afterAutospacing="1"/>
        <w:jc w:val="both"/>
        <w:rPr>
          <w:sz w:val="20"/>
          <w:szCs w:val="20"/>
        </w:rPr>
      </w:pPr>
      <w:r w:rsidRPr="005238F1">
        <w:rPr>
          <w:sz w:val="20"/>
          <w:szCs w:val="20"/>
        </w:rPr>
        <w:t>Las revisiones científicas han comprobado que cuanto más bajo es el nivel de intervención en la atención al parto más baja es la posibilidad de rotura uterina, de modo que:</w:t>
      </w:r>
    </w:p>
    <w:p w:rsidR="00BB3A23" w:rsidRPr="005238F1" w:rsidRDefault="00BB3A23" w:rsidP="00BB3A23">
      <w:pPr>
        <w:rPr>
          <w:bCs/>
          <w:sz w:val="20"/>
          <w:szCs w:val="20"/>
        </w:rPr>
      </w:pPr>
      <w:r w:rsidRPr="005238F1">
        <w:rPr>
          <w:bCs/>
          <w:sz w:val="20"/>
          <w:szCs w:val="20"/>
        </w:rPr>
        <w:t>-En los PVDC sucedidos en casa de partos la tasa es  de 2 entre 10.000</w:t>
      </w:r>
      <w:r w:rsidR="00F10520" w:rsidRPr="005238F1">
        <w:rPr>
          <w:bCs/>
          <w:sz w:val="20"/>
          <w:szCs w:val="20"/>
        </w:rPr>
        <w:t>: (</w:t>
      </w:r>
      <w:r w:rsidRPr="005238F1">
        <w:rPr>
          <w:bCs/>
          <w:sz w:val="20"/>
          <w:szCs w:val="20"/>
        </w:rPr>
        <w:t>0,02 por 1000).</w:t>
      </w:r>
    </w:p>
    <w:p w:rsidR="00BB3A23" w:rsidRPr="005238F1" w:rsidRDefault="00BB3A23" w:rsidP="00BB3A23">
      <w:pPr>
        <w:rPr>
          <w:bCs/>
          <w:sz w:val="20"/>
          <w:szCs w:val="20"/>
        </w:rPr>
      </w:pPr>
      <w:r w:rsidRPr="005238F1">
        <w:rPr>
          <w:bCs/>
          <w:sz w:val="20"/>
          <w:szCs w:val="20"/>
        </w:rPr>
        <w:t xml:space="preserve">-En los PVDC atendidos en hospital de forma natural oscila entre </w:t>
      </w:r>
      <w:proofErr w:type="spellStart"/>
      <w:r w:rsidRPr="005238F1">
        <w:rPr>
          <w:bCs/>
          <w:sz w:val="20"/>
          <w:szCs w:val="20"/>
        </w:rPr>
        <w:t>entre</w:t>
      </w:r>
      <w:proofErr w:type="spellEnd"/>
      <w:r w:rsidRPr="005238F1">
        <w:rPr>
          <w:bCs/>
          <w:sz w:val="20"/>
          <w:szCs w:val="20"/>
        </w:rPr>
        <w:t xml:space="preserve"> d</w:t>
      </w:r>
      <w:r w:rsidR="00F10520" w:rsidRPr="005238F1">
        <w:rPr>
          <w:bCs/>
          <w:sz w:val="20"/>
          <w:szCs w:val="20"/>
        </w:rPr>
        <w:t>os entre mil y cinco entre mil (o</w:t>
      </w:r>
      <w:r w:rsidRPr="005238F1">
        <w:rPr>
          <w:bCs/>
          <w:sz w:val="20"/>
          <w:szCs w:val="20"/>
        </w:rPr>
        <w:t xml:space="preserve"> lo que es lo mismo 1 entre 200 posibilidades).</w:t>
      </w:r>
    </w:p>
    <w:p w:rsidR="00BB3A23" w:rsidRPr="005238F1" w:rsidRDefault="00BB3A23" w:rsidP="00BB3A23">
      <w:pPr>
        <w:rPr>
          <w:bCs/>
          <w:sz w:val="20"/>
          <w:szCs w:val="20"/>
        </w:rPr>
      </w:pPr>
      <w:r w:rsidRPr="005238F1">
        <w:rPr>
          <w:bCs/>
          <w:sz w:val="20"/>
          <w:szCs w:val="20"/>
        </w:rPr>
        <w:t xml:space="preserve">-En los PVDC hospitalarios con </w:t>
      </w:r>
      <w:proofErr w:type="spellStart"/>
      <w:r w:rsidRPr="005238F1">
        <w:rPr>
          <w:bCs/>
          <w:sz w:val="20"/>
          <w:szCs w:val="20"/>
        </w:rPr>
        <w:t>oxitocina</w:t>
      </w:r>
      <w:proofErr w:type="spellEnd"/>
      <w:r w:rsidRPr="005238F1">
        <w:rPr>
          <w:bCs/>
          <w:sz w:val="20"/>
          <w:szCs w:val="20"/>
        </w:rPr>
        <w:t xml:space="preserve"> oscila 9 entre 1000, o sea alrededor del 1 por ciento.</w:t>
      </w:r>
    </w:p>
    <w:p w:rsidR="00BB3A23" w:rsidRPr="005238F1" w:rsidRDefault="00BB3A23" w:rsidP="00BB3A23">
      <w:pPr>
        <w:rPr>
          <w:bCs/>
          <w:sz w:val="20"/>
          <w:szCs w:val="20"/>
        </w:rPr>
      </w:pPr>
      <w:r w:rsidRPr="005238F1">
        <w:rPr>
          <w:bCs/>
          <w:sz w:val="20"/>
          <w:szCs w:val="20"/>
        </w:rPr>
        <w:t>-En los PVDC hospitalarios con prostaglandinas el riesgo aumenta al 25 entre 1000.</w:t>
      </w:r>
    </w:p>
    <w:p w:rsidR="00BB3A23" w:rsidRPr="005238F1" w:rsidRDefault="00BB3A23" w:rsidP="00BB3A23">
      <w:pPr>
        <w:rPr>
          <w:bCs/>
          <w:sz w:val="20"/>
          <w:szCs w:val="20"/>
        </w:rPr>
      </w:pPr>
    </w:p>
    <w:p w:rsidR="00BB3A23" w:rsidRPr="005238F1" w:rsidRDefault="00BB3A23" w:rsidP="00BB3A23">
      <w:pPr>
        <w:rPr>
          <w:bCs/>
          <w:sz w:val="20"/>
          <w:szCs w:val="20"/>
        </w:rPr>
      </w:pPr>
      <w:r w:rsidRPr="005238F1">
        <w:rPr>
          <w:bCs/>
          <w:sz w:val="20"/>
          <w:szCs w:val="20"/>
          <w:lang w:val="en-US"/>
        </w:rPr>
        <w:t xml:space="preserve">Haas AV. Homebirth after cesarean: the myth &amp; the reality. Midwifery Today </w:t>
      </w:r>
      <w:proofErr w:type="spellStart"/>
      <w:r w:rsidRPr="005238F1">
        <w:rPr>
          <w:bCs/>
          <w:sz w:val="20"/>
          <w:szCs w:val="20"/>
          <w:lang w:val="en-US"/>
        </w:rPr>
        <w:t>Int</w:t>
      </w:r>
      <w:proofErr w:type="spellEnd"/>
      <w:r w:rsidRPr="005238F1">
        <w:rPr>
          <w:bCs/>
          <w:sz w:val="20"/>
          <w:szCs w:val="20"/>
          <w:lang w:val="en-US"/>
        </w:rPr>
        <w:t xml:space="preserve"> Midwife. </w:t>
      </w:r>
      <w:r w:rsidRPr="005238F1">
        <w:rPr>
          <w:bCs/>
          <w:sz w:val="20"/>
          <w:szCs w:val="20"/>
        </w:rPr>
        <w:t>2008 (86):44-7, 68-9.</w:t>
      </w:r>
    </w:p>
    <w:p w:rsidR="00BB3A23" w:rsidRPr="005238F1" w:rsidRDefault="00BB3A23" w:rsidP="00BB3A23">
      <w:pPr>
        <w:rPr>
          <w:bCs/>
          <w:sz w:val="20"/>
          <w:szCs w:val="20"/>
        </w:rPr>
      </w:pPr>
    </w:p>
    <w:p w:rsidR="00BB3A23" w:rsidRPr="005238F1" w:rsidRDefault="00BB3A23" w:rsidP="00BB3A23">
      <w:pPr>
        <w:rPr>
          <w:bCs/>
          <w:sz w:val="20"/>
          <w:szCs w:val="20"/>
        </w:rPr>
      </w:pPr>
      <w:r w:rsidRPr="005238F1">
        <w:rPr>
          <w:bCs/>
          <w:sz w:val="20"/>
          <w:szCs w:val="20"/>
        </w:rPr>
        <w:t xml:space="preserve">En base a esta evidencia científica la atención a un parto vaginal en una mujer que tiene varias cesáreas debería ser </w:t>
      </w:r>
      <w:r w:rsidR="00F10520" w:rsidRPr="005238F1">
        <w:rPr>
          <w:bCs/>
          <w:sz w:val="20"/>
          <w:szCs w:val="20"/>
        </w:rPr>
        <w:t xml:space="preserve">de muy baja intervención, dejando que el parto suceda de forma espontánea y </w:t>
      </w:r>
      <w:proofErr w:type="gramStart"/>
      <w:r w:rsidR="00F10520" w:rsidRPr="005238F1">
        <w:rPr>
          <w:bCs/>
          <w:sz w:val="20"/>
          <w:szCs w:val="20"/>
        </w:rPr>
        <w:t>solo</w:t>
      </w:r>
      <w:proofErr w:type="gramEnd"/>
      <w:r w:rsidR="00F10520" w:rsidRPr="005238F1">
        <w:rPr>
          <w:bCs/>
          <w:sz w:val="20"/>
          <w:szCs w:val="20"/>
        </w:rPr>
        <w:t xml:space="preserve"> acompañando y vigilando que no aparezcan signos de peligro.  De ese modo aumenta la seguridad para la madre y el bebé y también la posibilidad de éxito.</w:t>
      </w:r>
    </w:p>
    <w:p w:rsidR="00F10520" w:rsidRPr="005238F1" w:rsidRDefault="00F10520" w:rsidP="00BB3A23">
      <w:pPr>
        <w:rPr>
          <w:bCs/>
          <w:sz w:val="20"/>
          <w:szCs w:val="20"/>
        </w:rPr>
      </w:pPr>
    </w:p>
    <w:p w:rsidR="00F10520" w:rsidRPr="005238F1" w:rsidRDefault="00F10520" w:rsidP="00BB3A23">
      <w:pPr>
        <w:rPr>
          <w:bCs/>
          <w:sz w:val="20"/>
          <w:szCs w:val="20"/>
        </w:rPr>
      </w:pPr>
      <w:proofErr w:type="spellStart"/>
      <w:r w:rsidRPr="005238F1">
        <w:rPr>
          <w:bCs/>
          <w:sz w:val="20"/>
          <w:szCs w:val="20"/>
        </w:rPr>
        <w:t>Inma</w:t>
      </w:r>
      <w:proofErr w:type="spellEnd"/>
      <w:r w:rsidRPr="005238F1">
        <w:rPr>
          <w:bCs/>
          <w:sz w:val="20"/>
          <w:szCs w:val="20"/>
        </w:rPr>
        <w:t xml:space="preserve"> Marcos</w:t>
      </w:r>
    </w:p>
    <w:p w:rsidR="00F10520" w:rsidRDefault="00F10520" w:rsidP="00BB3A23">
      <w:pPr>
        <w:rPr>
          <w:bCs/>
          <w:sz w:val="20"/>
          <w:szCs w:val="20"/>
        </w:rPr>
      </w:pPr>
      <w:r w:rsidRPr="005238F1">
        <w:rPr>
          <w:bCs/>
          <w:sz w:val="20"/>
          <w:szCs w:val="20"/>
        </w:rPr>
        <w:t xml:space="preserve">Comadrona de </w:t>
      </w:r>
      <w:r w:rsidR="005238F1">
        <w:rPr>
          <w:bCs/>
          <w:sz w:val="20"/>
          <w:szCs w:val="20"/>
        </w:rPr>
        <w:t xml:space="preserve"> </w:t>
      </w:r>
      <w:proofErr w:type="spellStart"/>
      <w:r w:rsidR="005238F1">
        <w:rPr>
          <w:bCs/>
          <w:sz w:val="20"/>
          <w:szCs w:val="20"/>
        </w:rPr>
        <w:t>Neixer</w:t>
      </w:r>
      <w:proofErr w:type="spellEnd"/>
      <w:r w:rsidR="005238F1">
        <w:rPr>
          <w:bCs/>
          <w:sz w:val="20"/>
          <w:szCs w:val="20"/>
        </w:rPr>
        <w:t xml:space="preserve"> a Casa, </w:t>
      </w:r>
      <w:r w:rsidRPr="005238F1">
        <w:rPr>
          <w:bCs/>
          <w:sz w:val="20"/>
          <w:szCs w:val="20"/>
        </w:rPr>
        <w:t>Barcelona</w:t>
      </w:r>
    </w:p>
    <w:p w:rsidR="005238F1" w:rsidRPr="005238F1" w:rsidRDefault="005238F1" w:rsidP="00BB3A23">
      <w:pPr>
        <w:rPr>
          <w:bCs/>
          <w:sz w:val="20"/>
          <w:szCs w:val="20"/>
        </w:rPr>
      </w:pPr>
      <w:r>
        <w:rPr>
          <w:bCs/>
          <w:sz w:val="20"/>
          <w:szCs w:val="20"/>
        </w:rPr>
        <w:t>www.neixeracasa.com</w:t>
      </w:r>
    </w:p>
    <w:p w:rsidR="00F10520" w:rsidRPr="005238F1" w:rsidRDefault="005238F1" w:rsidP="00BB3A23">
      <w:pPr>
        <w:rPr>
          <w:bCs/>
          <w:sz w:val="20"/>
          <w:szCs w:val="20"/>
        </w:rPr>
      </w:pPr>
      <w:r>
        <w:rPr>
          <w:bCs/>
          <w:sz w:val="20"/>
          <w:szCs w:val="20"/>
        </w:rPr>
        <w:t xml:space="preserve">Junio </w:t>
      </w:r>
      <w:r w:rsidR="00F10520" w:rsidRPr="005238F1">
        <w:rPr>
          <w:bCs/>
          <w:sz w:val="20"/>
          <w:szCs w:val="20"/>
        </w:rPr>
        <w:t>del 2014.</w:t>
      </w:r>
    </w:p>
    <w:p w:rsidR="00BB3A23" w:rsidRPr="005238F1" w:rsidRDefault="00BB3A23" w:rsidP="007D2EEF">
      <w:pPr>
        <w:spacing w:after="100" w:afterAutospacing="1"/>
        <w:jc w:val="both"/>
        <w:rPr>
          <w:sz w:val="20"/>
          <w:szCs w:val="20"/>
        </w:rPr>
      </w:pPr>
    </w:p>
    <w:p w:rsidR="007D2EEF" w:rsidRPr="005238F1" w:rsidRDefault="007D2EEF">
      <w:pPr>
        <w:rPr>
          <w:sz w:val="20"/>
          <w:szCs w:val="20"/>
        </w:rPr>
      </w:pPr>
    </w:p>
    <w:sectPr w:rsidR="007D2EEF" w:rsidRPr="005238F1" w:rsidSect="00710EB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3078A"/>
    <w:multiLevelType w:val="hybridMultilevel"/>
    <w:tmpl w:val="DC3CA9D2"/>
    <w:lvl w:ilvl="0" w:tplc="6048130E">
      <w:start w:val="1"/>
      <w:numFmt w:val="bullet"/>
      <w:lvlText w:val="•"/>
      <w:lvlJc w:val="left"/>
      <w:pPr>
        <w:tabs>
          <w:tab w:val="num" w:pos="720"/>
        </w:tabs>
        <w:ind w:left="720" w:hanging="360"/>
      </w:pPr>
      <w:rPr>
        <w:rFonts w:ascii="Times New Roman" w:hAnsi="Times New Roman" w:hint="default"/>
      </w:rPr>
    </w:lvl>
    <w:lvl w:ilvl="1" w:tplc="47641E5C" w:tentative="1">
      <w:start w:val="1"/>
      <w:numFmt w:val="bullet"/>
      <w:lvlText w:val="•"/>
      <w:lvlJc w:val="left"/>
      <w:pPr>
        <w:tabs>
          <w:tab w:val="num" w:pos="1440"/>
        </w:tabs>
        <w:ind w:left="1440" w:hanging="360"/>
      </w:pPr>
      <w:rPr>
        <w:rFonts w:ascii="Times New Roman" w:hAnsi="Times New Roman" w:hint="default"/>
      </w:rPr>
    </w:lvl>
    <w:lvl w:ilvl="2" w:tplc="30BCE3B4" w:tentative="1">
      <w:start w:val="1"/>
      <w:numFmt w:val="bullet"/>
      <w:lvlText w:val="•"/>
      <w:lvlJc w:val="left"/>
      <w:pPr>
        <w:tabs>
          <w:tab w:val="num" w:pos="2160"/>
        </w:tabs>
        <w:ind w:left="2160" w:hanging="360"/>
      </w:pPr>
      <w:rPr>
        <w:rFonts w:ascii="Times New Roman" w:hAnsi="Times New Roman" w:hint="default"/>
      </w:rPr>
    </w:lvl>
    <w:lvl w:ilvl="3" w:tplc="1EAC2BD4" w:tentative="1">
      <w:start w:val="1"/>
      <w:numFmt w:val="bullet"/>
      <w:lvlText w:val="•"/>
      <w:lvlJc w:val="left"/>
      <w:pPr>
        <w:tabs>
          <w:tab w:val="num" w:pos="2880"/>
        </w:tabs>
        <w:ind w:left="2880" w:hanging="360"/>
      </w:pPr>
      <w:rPr>
        <w:rFonts w:ascii="Times New Roman" w:hAnsi="Times New Roman" w:hint="default"/>
      </w:rPr>
    </w:lvl>
    <w:lvl w:ilvl="4" w:tplc="ABBA6F04" w:tentative="1">
      <w:start w:val="1"/>
      <w:numFmt w:val="bullet"/>
      <w:lvlText w:val="•"/>
      <w:lvlJc w:val="left"/>
      <w:pPr>
        <w:tabs>
          <w:tab w:val="num" w:pos="3600"/>
        </w:tabs>
        <w:ind w:left="3600" w:hanging="360"/>
      </w:pPr>
      <w:rPr>
        <w:rFonts w:ascii="Times New Roman" w:hAnsi="Times New Roman" w:hint="default"/>
      </w:rPr>
    </w:lvl>
    <w:lvl w:ilvl="5" w:tplc="84E4AE80" w:tentative="1">
      <w:start w:val="1"/>
      <w:numFmt w:val="bullet"/>
      <w:lvlText w:val="•"/>
      <w:lvlJc w:val="left"/>
      <w:pPr>
        <w:tabs>
          <w:tab w:val="num" w:pos="4320"/>
        </w:tabs>
        <w:ind w:left="4320" w:hanging="360"/>
      </w:pPr>
      <w:rPr>
        <w:rFonts w:ascii="Times New Roman" w:hAnsi="Times New Roman" w:hint="default"/>
      </w:rPr>
    </w:lvl>
    <w:lvl w:ilvl="6" w:tplc="16DEA17E" w:tentative="1">
      <w:start w:val="1"/>
      <w:numFmt w:val="bullet"/>
      <w:lvlText w:val="•"/>
      <w:lvlJc w:val="left"/>
      <w:pPr>
        <w:tabs>
          <w:tab w:val="num" w:pos="5040"/>
        </w:tabs>
        <w:ind w:left="5040" w:hanging="360"/>
      </w:pPr>
      <w:rPr>
        <w:rFonts w:ascii="Times New Roman" w:hAnsi="Times New Roman" w:hint="default"/>
      </w:rPr>
    </w:lvl>
    <w:lvl w:ilvl="7" w:tplc="D9227112" w:tentative="1">
      <w:start w:val="1"/>
      <w:numFmt w:val="bullet"/>
      <w:lvlText w:val="•"/>
      <w:lvlJc w:val="left"/>
      <w:pPr>
        <w:tabs>
          <w:tab w:val="num" w:pos="5760"/>
        </w:tabs>
        <w:ind w:left="5760" w:hanging="360"/>
      </w:pPr>
      <w:rPr>
        <w:rFonts w:ascii="Times New Roman" w:hAnsi="Times New Roman" w:hint="default"/>
      </w:rPr>
    </w:lvl>
    <w:lvl w:ilvl="8" w:tplc="19C04D40" w:tentative="1">
      <w:start w:val="1"/>
      <w:numFmt w:val="bullet"/>
      <w:lvlText w:val="•"/>
      <w:lvlJc w:val="left"/>
      <w:pPr>
        <w:tabs>
          <w:tab w:val="num" w:pos="6480"/>
        </w:tabs>
        <w:ind w:left="6480" w:hanging="360"/>
      </w:pPr>
      <w:rPr>
        <w:rFonts w:ascii="Times New Roman" w:hAnsi="Times New Roman" w:hint="default"/>
      </w:rPr>
    </w:lvl>
  </w:abstractNum>
  <w:abstractNum w:abstractNumId="1">
    <w:nsid w:val="59DE6C63"/>
    <w:multiLevelType w:val="hybridMultilevel"/>
    <w:tmpl w:val="8512822C"/>
    <w:lvl w:ilvl="0" w:tplc="DCAC713C">
      <w:start w:val="975"/>
      <w:numFmt w:val="bullet"/>
      <w:lvlText w:val="-"/>
      <w:lvlJc w:val="left"/>
      <w:pPr>
        <w:tabs>
          <w:tab w:val="num" w:pos="420"/>
        </w:tabs>
        <w:ind w:left="420" w:hanging="360"/>
      </w:pPr>
      <w:rPr>
        <w:rFonts w:ascii="Times New Roman" w:eastAsia="Times New Roman" w:hAnsi="Times New Roman" w:cs="Times New Roman" w:hint="default"/>
      </w:rPr>
    </w:lvl>
    <w:lvl w:ilvl="1" w:tplc="0C0A0003" w:tentative="1">
      <w:start w:val="1"/>
      <w:numFmt w:val="bullet"/>
      <w:lvlText w:val="o"/>
      <w:lvlJc w:val="left"/>
      <w:pPr>
        <w:tabs>
          <w:tab w:val="num" w:pos="1140"/>
        </w:tabs>
        <w:ind w:left="1140" w:hanging="360"/>
      </w:pPr>
      <w:rPr>
        <w:rFonts w:ascii="Courier New" w:hAnsi="Courier New" w:cs="Courier New" w:hint="default"/>
      </w:rPr>
    </w:lvl>
    <w:lvl w:ilvl="2" w:tplc="0C0A0005" w:tentative="1">
      <w:start w:val="1"/>
      <w:numFmt w:val="bullet"/>
      <w:lvlText w:val=""/>
      <w:lvlJc w:val="left"/>
      <w:pPr>
        <w:tabs>
          <w:tab w:val="num" w:pos="1860"/>
        </w:tabs>
        <w:ind w:left="1860" w:hanging="360"/>
      </w:pPr>
      <w:rPr>
        <w:rFonts w:ascii="Wingdings" w:hAnsi="Wingdings" w:hint="default"/>
      </w:rPr>
    </w:lvl>
    <w:lvl w:ilvl="3" w:tplc="0C0A0001" w:tentative="1">
      <w:start w:val="1"/>
      <w:numFmt w:val="bullet"/>
      <w:lvlText w:val=""/>
      <w:lvlJc w:val="left"/>
      <w:pPr>
        <w:tabs>
          <w:tab w:val="num" w:pos="2580"/>
        </w:tabs>
        <w:ind w:left="2580" w:hanging="360"/>
      </w:pPr>
      <w:rPr>
        <w:rFonts w:ascii="Symbol" w:hAnsi="Symbol" w:hint="default"/>
      </w:rPr>
    </w:lvl>
    <w:lvl w:ilvl="4" w:tplc="0C0A0003" w:tentative="1">
      <w:start w:val="1"/>
      <w:numFmt w:val="bullet"/>
      <w:lvlText w:val="o"/>
      <w:lvlJc w:val="left"/>
      <w:pPr>
        <w:tabs>
          <w:tab w:val="num" w:pos="3300"/>
        </w:tabs>
        <w:ind w:left="3300" w:hanging="360"/>
      </w:pPr>
      <w:rPr>
        <w:rFonts w:ascii="Courier New" w:hAnsi="Courier New" w:cs="Courier New" w:hint="default"/>
      </w:rPr>
    </w:lvl>
    <w:lvl w:ilvl="5" w:tplc="0C0A0005" w:tentative="1">
      <w:start w:val="1"/>
      <w:numFmt w:val="bullet"/>
      <w:lvlText w:val=""/>
      <w:lvlJc w:val="left"/>
      <w:pPr>
        <w:tabs>
          <w:tab w:val="num" w:pos="4020"/>
        </w:tabs>
        <w:ind w:left="4020" w:hanging="360"/>
      </w:pPr>
      <w:rPr>
        <w:rFonts w:ascii="Wingdings" w:hAnsi="Wingdings" w:hint="default"/>
      </w:rPr>
    </w:lvl>
    <w:lvl w:ilvl="6" w:tplc="0C0A0001" w:tentative="1">
      <w:start w:val="1"/>
      <w:numFmt w:val="bullet"/>
      <w:lvlText w:val=""/>
      <w:lvlJc w:val="left"/>
      <w:pPr>
        <w:tabs>
          <w:tab w:val="num" w:pos="4740"/>
        </w:tabs>
        <w:ind w:left="4740" w:hanging="360"/>
      </w:pPr>
      <w:rPr>
        <w:rFonts w:ascii="Symbol" w:hAnsi="Symbol" w:hint="default"/>
      </w:rPr>
    </w:lvl>
    <w:lvl w:ilvl="7" w:tplc="0C0A0003" w:tentative="1">
      <w:start w:val="1"/>
      <w:numFmt w:val="bullet"/>
      <w:lvlText w:val="o"/>
      <w:lvlJc w:val="left"/>
      <w:pPr>
        <w:tabs>
          <w:tab w:val="num" w:pos="5460"/>
        </w:tabs>
        <w:ind w:left="5460" w:hanging="360"/>
      </w:pPr>
      <w:rPr>
        <w:rFonts w:ascii="Courier New" w:hAnsi="Courier New" w:cs="Courier New" w:hint="default"/>
      </w:rPr>
    </w:lvl>
    <w:lvl w:ilvl="8" w:tplc="0C0A0005" w:tentative="1">
      <w:start w:val="1"/>
      <w:numFmt w:val="bullet"/>
      <w:lvlText w:val=""/>
      <w:lvlJc w:val="left"/>
      <w:pPr>
        <w:tabs>
          <w:tab w:val="num" w:pos="6180"/>
        </w:tabs>
        <w:ind w:left="61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FF09ED"/>
    <w:rsid w:val="000E58F3"/>
    <w:rsid w:val="00240E42"/>
    <w:rsid w:val="005238F1"/>
    <w:rsid w:val="00710EBE"/>
    <w:rsid w:val="007D2EEF"/>
    <w:rsid w:val="00AD2745"/>
    <w:rsid w:val="00BB3A23"/>
    <w:rsid w:val="00C80DE0"/>
    <w:rsid w:val="00C8442F"/>
    <w:rsid w:val="00D2750D"/>
    <w:rsid w:val="00F10520"/>
    <w:rsid w:val="00FF09ED"/>
    <w:rsid w:val="00FF0E1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9E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FF09ED"/>
    <w:pPr>
      <w:spacing w:before="100" w:beforeAutospacing="1" w:after="100" w:afterAutospacing="1"/>
    </w:pPr>
  </w:style>
  <w:style w:type="paragraph" w:styleId="HTMLconformatoprevio">
    <w:name w:val="HTML Preformatted"/>
    <w:basedOn w:val="Normal"/>
    <w:link w:val="HTMLconformatoprevioCar"/>
    <w:rsid w:val="00FF0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szCs w:val="20"/>
    </w:rPr>
  </w:style>
  <w:style w:type="character" w:customStyle="1" w:styleId="HTMLconformatoprevioCar">
    <w:name w:val="HTML con formato previo Car"/>
    <w:basedOn w:val="Fuentedeprrafopredeter"/>
    <w:link w:val="HTMLconformatoprevio"/>
    <w:rsid w:val="00FF09ED"/>
    <w:rPr>
      <w:rFonts w:ascii="Courier New" w:eastAsia="Courier New" w:hAnsi="Courier New" w:cs="Courier New"/>
      <w:color w:val="000000"/>
      <w:sz w:val="20"/>
      <w:szCs w:val="20"/>
      <w:lang w:eastAsia="es-ES"/>
    </w:rPr>
  </w:style>
</w:styles>
</file>

<file path=word/webSettings.xml><?xml version="1.0" encoding="utf-8"?>
<w:webSettings xmlns:r="http://schemas.openxmlformats.org/officeDocument/2006/relationships" xmlns:w="http://schemas.openxmlformats.org/wordprocessingml/2006/main">
  <w:divs>
    <w:div w:id="539516134">
      <w:bodyDiv w:val="1"/>
      <w:marLeft w:val="0"/>
      <w:marRight w:val="0"/>
      <w:marTop w:val="0"/>
      <w:marBottom w:val="0"/>
      <w:divBdr>
        <w:top w:val="none" w:sz="0" w:space="0" w:color="auto"/>
        <w:left w:val="none" w:sz="0" w:space="0" w:color="auto"/>
        <w:bottom w:val="none" w:sz="0" w:space="0" w:color="auto"/>
        <w:right w:val="none" w:sz="0" w:space="0" w:color="auto"/>
      </w:divBdr>
      <w:divsChild>
        <w:div w:id="13024601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1015</Words>
  <Characters>5586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Inma</dc:creator>
  <cp:lastModifiedBy>Inma</cp:lastModifiedBy>
  <cp:revision>4</cp:revision>
  <dcterms:created xsi:type="dcterms:W3CDTF">2014-05-22T21:15:00Z</dcterms:created>
  <dcterms:modified xsi:type="dcterms:W3CDTF">2014-06-16T21:51:00Z</dcterms:modified>
</cp:coreProperties>
</file>